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160" w:before="340" w:line="312" w:lineRule="auto"/>
        <w:rPr>
          <w:rFonts w:ascii="Montserrat" w:cs="Montserrat" w:eastAsia="Montserrat" w:hAnsi="Montserrat"/>
          <w:color w:val="263b4c"/>
          <w:sz w:val="54"/>
          <w:szCs w:val="54"/>
        </w:rPr>
      </w:pPr>
      <w:bookmarkStart w:colFirst="0" w:colLast="0" w:name="_3sdt07ro608" w:id="0"/>
      <w:bookmarkEnd w:id="0"/>
      <w:r w:rsidDel="00000000" w:rsidR="00000000" w:rsidRPr="00000000">
        <w:rPr>
          <w:rFonts w:ascii="Montserrat" w:cs="Montserrat" w:eastAsia="Montserrat" w:hAnsi="Montserrat"/>
          <w:color w:val="263b4c"/>
          <w:sz w:val="54"/>
          <w:szCs w:val="54"/>
          <w:rtl w:val="0"/>
        </w:rPr>
        <w:t xml:space="preserve">Thank you for your interest in becoming a Corporate Sponsor!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160" w:before="340" w:line="312" w:lineRule="auto"/>
        <w:rPr>
          <w:rFonts w:ascii="Montserrat" w:cs="Montserrat" w:eastAsia="Montserrat" w:hAnsi="Montserrat"/>
          <w:b w:val="1"/>
          <w:color w:val="263b4c"/>
          <w:sz w:val="36"/>
          <w:szCs w:val="36"/>
        </w:rPr>
      </w:pPr>
      <w:bookmarkStart w:colFirst="0" w:colLast="0" w:name="_m708zqjc3ywp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263b4c"/>
          <w:sz w:val="36"/>
          <w:szCs w:val="36"/>
          <w:rtl w:val="0"/>
        </w:rPr>
        <w:t xml:space="preserve">How it works:</w:t>
      </w:r>
    </w:p>
    <w:p w:rsidR="00000000" w:rsidDel="00000000" w:rsidP="00000000" w:rsidRDefault="00000000" w:rsidRPr="00000000" w14:paraId="00000003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The website you were viewing can display banner ads across all pages. The distribution is even across all pages, including the homepage and e-bulletin.</w:t>
      </w:r>
    </w:p>
    <w:p w:rsidR="00000000" w:rsidDel="00000000" w:rsidP="00000000" w:rsidRDefault="00000000" w:rsidRPr="00000000" w14:paraId="00000004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The graphic will link to your corporate homepage only.</w:t>
      </w:r>
    </w:p>
    <w:p w:rsidR="00000000" w:rsidDel="00000000" w:rsidP="00000000" w:rsidRDefault="00000000" w:rsidRPr="00000000" w14:paraId="00000005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Please contact us for more information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info@huntsvillekiwanis.ca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untsvillekiwani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